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D47264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D47264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397"/>
        <w:gridCol w:w="2127"/>
        <w:gridCol w:w="2693"/>
        <w:gridCol w:w="2126"/>
      </w:tblGrid>
      <w:tr w:rsidR="00BC58DF" w:rsidTr="00BC58DF">
        <w:trPr>
          <w:trHeight w:val="28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r>
              <w:t>Зона действия Пакета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</w:tr>
      <w:tr w:rsidR="00BC58DF" w:rsidTr="00BC58DF">
        <w:trPr>
          <w:trHeight w:val="28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DF" w:rsidRDefault="00BC58DF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1GB/7 дней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5GB/10 дней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10GB/14 дней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DF" w:rsidRDefault="00BC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(руб.)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BC58DF" w:rsidTr="00BC58DF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8DF" w:rsidRDefault="00BC58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</w:tbl>
    <w:p w:rsidR="0031762B" w:rsidRPr="00BC58DF" w:rsidRDefault="0031762B" w:rsidP="00BC58DF"/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proofErr w:type="gram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>
          <w:rPr>
            <w:rStyle w:val="a6"/>
          </w:rPr>
          <w:t>tech</w:t>
        </w:r>
        <w:r w:rsidRPr="0038731E">
          <w:rPr>
            <w:rStyle w:val="a6"/>
            <w:lang w:val="ru-RU"/>
          </w:rPr>
          <w:t>_</w:t>
        </w:r>
        <w:r>
          <w:rPr>
            <w:rStyle w:val="a6"/>
          </w:rPr>
          <w:t>support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ru</w:t>
        </w:r>
      </w:hyperlink>
      <w:r w:rsidRPr="001C2267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>–</w:t>
      </w:r>
      <w:r w:rsidRPr="001C2267">
        <w:rPr>
          <w:rStyle w:val="a6"/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>
        <w:rPr>
          <w:rStyle w:val="a6"/>
          <w:lang w:val="ru-RU"/>
        </w:rPr>
        <w:t xml:space="preserve"> </w:t>
      </w:r>
      <w:hyperlink r:id="rId6" w:history="1">
        <w:r>
          <w:rPr>
            <w:rStyle w:val="a6"/>
          </w:rPr>
          <w:t>questions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</w:hyperlink>
      <w:r w:rsidRPr="0038731E">
        <w:rPr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6"/>
          <w:lang w:val="ru-RU"/>
        </w:rPr>
        <w:t xml:space="preserve">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BC58DF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8C3D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7</cp:revision>
  <dcterms:created xsi:type="dcterms:W3CDTF">2025-05-16T14:21:00Z</dcterms:created>
  <dcterms:modified xsi:type="dcterms:W3CDTF">2025-12-16T17:52:00Z</dcterms:modified>
</cp:coreProperties>
</file>